
<file path=[Content_Types].xml><?xml version="1.0" encoding="utf-8"?>
<Types xmlns="http://schemas.openxmlformats.org/package/2006/content-types">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0B847">
      <w:pPr>
        <w:widowControl/>
        <w:jc w:val="left"/>
        <w:rPr>
          <w:rFonts w:eastAsia="黑体"/>
          <w:color w:val="auto"/>
          <w:kern w:val="2"/>
          <w:sz w:val="32"/>
          <w:szCs w:val="32"/>
        </w:rPr>
      </w:pPr>
      <w:bookmarkStart w:id="0" w:name="_Hlk512244031"/>
    </w:p>
    <w:p w14:paraId="4F0A39E8">
      <w:pPr>
        <w:widowControl/>
        <w:jc w:val="center"/>
        <w:rPr>
          <w:rFonts w:eastAsia="黑体" w:cs="黑体"/>
          <w:color w:val="auto"/>
          <w:kern w:val="2"/>
          <w:sz w:val="36"/>
          <w:szCs w:val="36"/>
        </w:rPr>
      </w:pPr>
    </w:p>
    <w:p w14:paraId="565C695F">
      <w:pPr>
        <w:widowControl/>
        <w:jc w:val="center"/>
        <w:rPr>
          <w:rFonts w:eastAsia="黑体" w:cs="黑体"/>
          <w:color w:val="auto"/>
          <w:kern w:val="2"/>
          <w:sz w:val="36"/>
          <w:szCs w:val="36"/>
        </w:rPr>
      </w:pPr>
    </w:p>
    <w:p w14:paraId="32435786">
      <w:pPr>
        <w:widowControl/>
        <w:jc w:val="center"/>
        <w:rPr>
          <w:rFonts w:hint="eastAsia" w:ascii="宋体" w:hAnsi="宋体"/>
          <w:color w:val="auto"/>
          <w:kern w:val="2"/>
          <w:sz w:val="32"/>
          <w:szCs w:val="32"/>
        </w:rPr>
      </w:pPr>
      <w:r>
        <w:rPr>
          <w:rFonts w:hint="eastAsia" w:ascii="宋体" w:hAnsi="宋体" w:cs="黑体"/>
          <w:color w:val="auto"/>
          <w:kern w:val="2"/>
          <w:sz w:val="36"/>
          <w:szCs w:val="36"/>
        </w:rPr>
        <w:t>中国消防协会团体标准</w:t>
      </w:r>
    </w:p>
    <w:p w14:paraId="5C818CBD">
      <w:pPr>
        <w:widowControl/>
        <w:jc w:val="center"/>
        <w:rPr>
          <w:rFonts w:hint="eastAsia" w:ascii="宋体" w:hAnsi="宋体"/>
          <w:color w:val="auto"/>
          <w:kern w:val="2"/>
          <w:sz w:val="32"/>
          <w:szCs w:val="32"/>
        </w:rPr>
      </w:pPr>
    </w:p>
    <w:p w14:paraId="71011F6D">
      <w:pPr>
        <w:widowControl/>
        <w:spacing w:line="360" w:lineRule="auto"/>
        <w:jc w:val="center"/>
        <w:rPr>
          <w:rFonts w:hint="eastAsia" w:ascii="宋体" w:hAnsi="宋体"/>
          <w:color w:val="auto"/>
          <w:kern w:val="2"/>
          <w:sz w:val="36"/>
          <w:szCs w:val="36"/>
        </w:rPr>
      </w:pPr>
      <w:r>
        <w:rPr>
          <w:rFonts w:hint="eastAsia" w:ascii="宋体" w:hAnsi="宋体"/>
          <w:color w:val="auto"/>
          <w:sz w:val="32"/>
          <w:szCs w:val="32"/>
        </w:rPr>
        <w:t>《新能源车位火灾防护隔断》</w:t>
      </w:r>
    </w:p>
    <w:p w14:paraId="531F8099">
      <w:pPr>
        <w:widowControl/>
        <w:spacing w:line="360" w:lineRule="auto"/>
        <w:jc w:val="center"/>
        <w:rPr>
          <w:rFonts w:hint="eastAsia" w:ascii="宋体" w:hAnsi="宋体"/>
          <w:color w:val="auto"/>
          <w:kern w:val="2"/>
          <w:sz w:val="32"/>
          <w:szCs w:val="32"/>
        </w:rPr>
      </w:pPr>
    </w:p>
    <w:p w14:paraId="7A954BEA">
      <w:pPr>
        <w:widowControl/>
        <w:spacing w:line="360" w:lineRule="auto"/>
        <w:jc w:val="center"/>
        <w:rPr>
          <w:rFonts w:hint="eastAsia" w:ascii="宋体" w:hAnsi="宋体"/>
          <w:color w:val="auto"/>
          <w:kern w:val="2"/>
          <w:sz w:val="32"/>
          <w:szCs w:val="32"/>
        </w:rPr>
      </w:pPr>
      <w:r>
        <w:rPr>
          <w:rFonts w:hint="eastAsia" w:ascii="宋体" w:hAnsi="宋体"/>
          <w:color w:val="auto"/>
          <w:kern w:val="2"/>
          <w:sz w:val="32"/>
          <w:szCs w:val="32"/>
        </w:rPr>
        <w:t>（</w:t>
      </w:r>
      <w:r>
        <w:rPr>
          <w:rFonts w:ascii="宋体" w:hAnsi="宋体"/>
          <w:color w:val="auto"/>
          <w:kern w:val="2"/>
          <w:sz w:val="32"/>
          <w:szCs w:val="32"/>
        </w:rPr>
        <w:t xml:space="preserve">T/CFPA </w:t>
      </w:r>
      <w:r>
        <w:rPr>
          <w:rFonts w:hint="eastAsia" w:ascii="宋体" w:hAnsi="宋体"/>
          <w:color w:val="auto"/>
          <w:sz w:val="32"/>
          <w:szCs w:val="32"/>
        </w:rPr>
        <w:t>***</w:t>
      </w:r>
      <w:r>
        <w:rPr>
          <w:rFonts w:ascii="宋体" w:hAnsi="宋体"/>
          <w:color w:val="auto"/>
          <w:sz w:val="32"/>
          <w:szCs w:val="32"/>
        </w:rPr>
        <w:t>-</w:t>
      </w:r>
      <w:r>
        <w:rPr>
          <w:rFonts w:hint="eastAsia" w:ascii="宋体" w:hAnsi="宋体"/>
          <w:color w:val="auto"/>
          <w:sz w:val="32"/>
          <w:szCs w:val="32"/>
        </w:rPr>
        <w:t>****</w:t>
      </w:r>
      <w:r>
        <w:rPr>
          <w:rFonts w:hint="eastAsia" w:ascii="宋体" w:hAnsi="宋体"/>
          <w:color w:val="auto"/>
          <w:kern w:val="2"/>
          <w:sz w:val="32"/>
          <w:szCs w:val="32"/>
        </w:rPr>
        <w:t>）</w:t>
      </w:r>
    </w:p>
    <w:p w14:paraId="4C8E4425">
      <w:pPr>
        <w:widowControl/>
        <w:spacing w:line="360" w:lineRule="auto"/>
        <w:jc w:val="center"/>
        <w:rPr>
          <w:rFonts w:hint="eastAsia" w:ascii="宋体" w:hAnsi="宋体"/>
          <w:color w:val="auto"/>
          <w:kern w:val="2"/>
          <w:sz w:val="36"/>
          <w:szCs w:val="36"/>
        </w:rPr>
      </w:pPr>
    </w:p>
    <w:p w14:paraId="08D92E44">
      <w:pPr>
        <w:widowControl/>
        <w:spacing w:line="360" w:lineRule="auto"/>
        <w:jc w:val="center"/>
        <w:rPr>
          <w:rFonts w:hint="eastAsia" w:ascii="宋体" w:hAnsi="宋体"/>
          <w:color w:val="auto"/>
          <w:kern w:val="2"/>
          <w:sz w:val="36"/>
          <w:szCs w:val="36"/>
        </w:rPr>
      </w:pPr>
    </w:p>
    <w:p w14:paraId="0ED08C9F">
      <w:pPr>
        <w:widowControl/>
        <w:spacing w:line="360" w:lineRule="auto"/>
        <w:jc w:val="center"/>
        <w:rPr>
          <w:rFonts w:hint="eastAsia" w:ascii="宋体" w:hAnsi="宋体"/>
          <w:color w:val="auto"/>
          <w:kern w:val="2"/>
          <w:sz w:val="36"/>
          <w:szCs w:val="36"/>
        </w:rPr>
      </w:pPr>
      <w:r>
        <w:rPr>
          <w:rFonts w:hint="eastAsia" w:ascii="宋体" w:hAnsi="宋体"/>
          <w:color w:val="auto"/>
          <w:kern w:val="2"/>
          <w:sz w:val="52"/>
          <w:szCs w:val="52"/>
        </w:rPr>
        <w:t>编 制 说明</w:t>
      </w:r>
    </w:p>
    <w:p w14:paraId="71AF5FCA">
      <w:pPr>
        <w:widowControl/>
        <w:spacing w:line="360" w:lineRule="auto"/>
        <w:jc w:val="center"/>
        <w:rPr>
          <w:rFonts w:eastAsia="黑体"/>
          <w:color w:val="auto"/>
          <w:kern w:val="2"/>
          <w:sz w:val="36"/>
          <w:szCs w:val="36"/>
        </w:rPr>
      </w:pPr>
    </w:p>
    <w:p w14:paraId="6FFAB2C7">
      <w:pPr>
        <w:widowControl/>
        <w:spacing w:line="360" w:lineRule="auto"/>
        <w:jc w:val="center"/>
        <w:rPr>
          <w:rFonts w:eastAsia="黑体"/>
          <w:color w:val="auto"/>
          <w:kern w:val="2"/>
          <w:sz w:val="36"/>
          <w:szCs w:val="36"/>
        </w:rPr>
      </w:pPr>
    </w:p>
    <w:p w14:paraId="7FA979CB">
      <w:pPr>
        <w:widowControl/>
        <w:spacing w:line="360" w:lineRule="auto"/>
        <w:jc w:val="center"/>
        <w:rPr>
          <w:rFonts w:eastAsia="黑体"/>
          <w:color w:val="auto"/>
          <w:kern w:val="2"/>
          <w:sz w:val="36"/>
          <w:szCs w:val="36"/>
        </w:rPr>
      </w:pPr>
    </w:p>
    <w:p w14:paraId="23B26A8B">
      <w:pPr>
        <w:widowControl/>
        <w:spacing w:line="360" w:lineRule="auto"/>
        <w:jc w:val="center"/>
        <w:rPr>
          <w:rFonts w:eastAsia="黑体"/>
          <w:color w:val="auto"/>
          <w:kern w:val="2"/>
          <w:sz w:val="36"/>
          <w:szCs w:val="36"/>
        </w:rPr>
      </w:pPr>
    </w:p>
    <w:p w14:paraId="0EAE0B79">
      <w:pPr>
        <w:widowControl/>
        <w:spacing w:line="360" w:lineRule="auto"/>
        <w:jc w:val="center"/>
        <w:rPr>
          <w:rFonts w:eastAsia="黑体"/>
          <w:color w:val="auto"/>
          <w:kern w:val="2"/>
          <w:sz w:val="36"/>
          <w:szCs w:val="36"/>
        </w:rPr>
      </w:pPr>
    </w:p>
    <w:p w14:paraId="45FAE48B">
      <w:pPr>
        <w:widowControl/>
        <w:spacing w:line="360" w:lineRule="auto"/>
        <w:jc w:val="center"/>
        <w:rPr>
          <w:rFonts w:eastAsia="黑体"/>
          <w:color w:val="auto"/>
          <w:kern w:val="2"/>
          <w:sz w:val="36"/>
          <w:szCs w:val="36"/>
        </w:rPr>
      </w:pPr>
    </w:p>
    <w:p w14:paraId="451E7C31">
      <w:pPr>
        <w:widowControl/>
        <w:spacing w:line="360" w:lineRule="auto"/>
        <w:jc w:val="center"/>
        <w:rPr>
          <w:rFonts w:eastAsia="黑体"/>
          <w:color w:val="auto"/>
          <w:kern w:val="2"/>
          <w:sz w:val="36"/>
          <w:szCs w:val="36"/>
        </w:rPr>
      </w:pPr>
    </w:p>
    <w:p w14:paraId="3D8F3985">
      <w:pPr>
        <w:widowControl/>
        <w:spacing w:line="360" w:lineRule="auto"/>
        <w:jc w:val="center"/>
        <w:rPr>
          <w:rFonts w:hint="eastAsia" w:ascii="楷体" w:hAnsi="楷体" w:eastAsia="楷体"/>
          <w:color w:val="auto"/>
          <w:kern w:val="2"/>
          <w:sz w:val="36"/>
          <w:szCs w:val="36"/>
        </w:rPr>
      </w:pPr>
      <w:r>
        <w:rPr>
          <w:rFonts w:hint="eastAsia" w:ascii="楷体" w:hAnsi="楷体" w:eastAsia="楷体"/>
          <w:color w:val="auto"/>
          <w:sz w:val="32"/>
          <w:szCs w:val="32"/>
        </w:rPr>
        <w:t>《新能源车位火灾防护隔断》编制组</w:t>
      </w:r>
    </w:p>
    <w:p w14:paraId="3A9E755D">
      <w:pPr>
        <w:widowControl/>
        <w:spacing w:line="360" w:lineRule="auto"/>
        <w:jc w:val="center"/>
        <w:rPr>
          <w:rFonts w:hint="eastAsia" w:ascii="楷体" w:hAnsi="楷体" w:eastAsia="楷体"/>
          <w:color w:val="auto"/>
          <w:kern w:val="2"/>
          <w:sz w:val="28"/>
          <w:szCs w:val="28"/>
        </w:rPr>
      </w:pPr>
      <w:r>
        <w:rPr>
          <w:rFonts w:hint="eastAsia" w:ascii="楷体" w:hAnsi="楷体" w:eastAsia="楷体" w:cs="黑体"/>
          <w:color w:val="auto"/>
          <w:kern w:val="2"/>
          <w:sz w:val="28"/>
          <w:szCs w:val="28"/>
        </w:rPr>
        <w:t>二零二六年二月二十七日</w:t>
      </w:r>
    </w:p>
    <w:p w14:paraId="6C0946A7">
      <w:pPr>
        <w:widowControl/>
        <w:spacing w:line="360" w:lineRule="auto"/>
        <w:jc w:val="center"/>
        <w:rPr>
          <w:rFonts w:eastAsia="黑体"/>
          <w:color w:val="auto"/>
          <w:sz w:val="28"/>
          <w:szCs w:val="28"/>
        </w:rPr>
      </w:pPr>
    </w:p>
    <w:bookmarkEnd w:id="0"/>
    <w:p w14:paraId="3AE854A7">
      <w:pPr>
        <w:snapToGrid w:val="0"/>
        <w:spacing w:line="360" w:lineRule="auto"/>
        <w:jc w:val="center"/>
        <w:rPr>
          <w:rFonts w:eastAsia="仿宋_GB2312" w:cs="仿宋_GB2312"/>
          <w:b/>
          <w:bCs/>
          <w:color w:val="auto"/>
          <w:sz w:val="32"/>
          <w:szCs w:val="32"/>
        </w:rPr>
        <w:sectPr>
          <w:headerReference r:id="rId3" w:type="default"/>
          <w:pgSz w:w="11906" w:h="16838"/>
          <w:pgMar w:top="1440" w:right="1800" w:bottom="1440" w:left="1800" w:header="851" w:footer="992" w:gutter="0"/>
          <w:pgNumType w:start="0"/>
          <w:cols w:space="425" w:num="1"/>
          <w:docGrid w:type="lines" w:linePitch="312" w:charSpace="0"/>
        </w:sectPr>
      </w:pPr>
    </w:p>
    <w:p w14:paraId="7E04585D">
      <w:pPr>
        <w:spacing w:line="300" w:lineRule="auto"/>
        <w:rPr>
          <w:rFonts w:eastAsia="仿宋_GB2312" w:cs="仿宋_GB2312"/>
          <w:b/>
          <w:bCs/>
          <w:color w:val="auto"/>
          <w:sz w:val="32"/>
          <w:szCs w:val="32"/>
        </w:rPr>
      </w:pPr>
    </w:p>
    <w:p w14:paraId="07BEF5DA">
      <w:pPr>
        <w:snapToGrid w:val="0"/>
        <w:spacing w:line="360" w:lineRule="auto"/>
        <w:ind w:firstLine="600" w:firstLineChars="200"/>
        <w:rPr>
          <w:bCs/>
          <w:color w:val="auto"/>
          <w:sz w:val="30"/>
          <w:szCs w:val="30"/>
        </w:rPr>
      </w:pPr>
      <w:r>
        <w:rPr>
          <w:rFonts w:hint="eastAsia" w:ascii="黑体" w:hAnsi="黑体" w:eastAsia="黑体" w:cs="仿宋_GB2312"/>
          <w:color w:val="auto"/>
          <w:sz w:val="30"/>
          <w:szCs w:val="30"/>
        </w:rPr>
        <w:t>一、标准编制的依据、背景、目的、意义</w:t>
      </w:r>
    </w:p>
    <w:p w14:paraId="43EA6EA8">
      <w:pPr>
        <w:snapToGrid w:val="0"/>
        <w:spacing w:line="360" w:lineRule="auto"/>
        <w:ind w:firstLine="600" w:firstLineChars="200"/>
        <w:rPr>
          <w:bCs/>
          <w:color w:val="auto"/>
          <w:sz w:val="30"/>
          <w:szCs w:val="30"/>
        </w:rPr>
      </w:pPr>
      <w:r>
        <w:rPr>
          <w:rFonts w:hint="eastAsia"/>
          <w:bCs/>
          <w:color w:val="auto"/>
          <w:sz w:val="30"/>
          <w:szCs w:val="30"/>
        </w:rPr>
        <w:t>在碳中和的大背景下，节能减排的需求为新能源汽车的市场需求奠定了基础，截至2023年底，全国新能源汽车保有量超过2000万辆，其中纯电动汽车保有量1552万辆，占比超过76%，新能源汽车特别是电动汽车仍将保持较快速度增长。但与此同时，近年来新能源汽车自燃事件屡见不鲜，从冒烟到自燃几秒到几分钟不等，非常迅速。如果是锂电池，着火后可能需要24小时才能完全扑灭明火，而冒烟表示电池内部仍处于高温状态且极易死灰复燃。而在车位上发生的自燃，更会使火势快速蔓延至其他车辆，造成更严重的损失和危害，新能源汽车的安全隐患已经成为制约其发展的短板。</w:t>
      </w:r>
    </w:p>
    <w:p w14:paraId="13A4014B">
      <w:pPr>
        <w:snapToGrid w:val="0"/>
        <w:spacing w:line="360" w:lineRule="auto"/>
        <w:ind w:firstLine="600" w:firstLineChars="200"/>
        <w:rPr>
          <w:bCs/>
          <w:color w:val="auto"/>
          <w:sz w:val="30"/>
          <w:szCs w:val="30"/>
        </w:rPr>
      </w:pPr>
      <w:r>
        <w:rPr>
          <w:rFonts w:hint="eastAsia"/>
          <w:bCs/>
          <w:color w:val="auto"/>
          <w:sz w:val="30"/>
          <w:szCs w:val="30"/>
        </w:rPr>
        <w:t>截止目前，针对新能源车（包括纯电动小型载客汽车及电动自行车）的自燃问题尚未有有效的解决方案，安全隐患不可避免。新能源车位火灾防护隔断是专门针对新能源车阻热阻燃而研发的消防设备，其采用了A</w:t>
      </w:r>
      <w:r>
        <w:rPr>
          <w:rFonts w:hint="eastAsia"/>
          <w:bCs/>
          <w:color w:val="auto"/>
          <w:sz w:val="30"/>
          <w:szCs w:val="30"/>
          <w:vertAlign w:val="subscript"/>
        </w:rPr>
        <w:t>1</w:t>
      </w:r>
      <w:r>
        <w:rPr>
          <w:rFonts w:hint="eastAsia"/>
          <w:bCs/>
          <w:color w:val="auto"/>
          <w:sz w:val="30"/>
          <w:szCs w:val="30"/>
        </w:rPr>
        <w:t>级纳米陶瓷阻燃隔热板，在1000℃火灾下整体隔断保持结构稳定性，不坍塌，不开裂，不漏火，背火面温度在80℃以内，无毒无烟，有效保护了楼宇地下结构支撑柱的稳定性不受损害，环境温度40℃以内，不会引发周围连锁反应造成火烧连营。同时，该隔断材料质地坚韧，具备良好的抗压、耐磨性能，不易变形、损坏，使用寿命长。其表面光滑平整，易于清洁和维护，可保持长期美观。</w:t>
      </w:r>
    </w:p>
    <w:p w14:paraId="15D2610E">
      <w:pPr>
        <w:snapToGrid w:val="0"/>
        <w:spacing w:line="360" w:lineRule="auto"/>
        <w:ind w:firstLine="600" w:firstLineChars="200"/>
        <w:rPr>
          <w:bCs/>
          <w:color w:val="auto"/>
          <w:sz w:val="30"/>
          <w:szCs w:val="30"/>
        </w:rPr>
      </w:pPr>
      <w:r>
        <w:rPr>
          <w:rFonts w:hint="eastAsia"/>
          <w:bCs/>
          <w:color w:val="auto"/>
          <w:sz w:val="30"/>
          <w:szCs w:val="30"/>
        </w:rPr>
        <w:t>中央及地方政策明确提出 “构建以新能源为主体的新型电力系统”“加强新能源基础设施安全防范”，如江苏省 “十四五” 消防救援发展规划强调需 “加强电化学储能等新能源基础设施安全防范和应急处置能力建设”。新能源车位火灾防护隔断的使用，可以提升高层建筑、商场、酒店等公共场所的地下停车场、地上停车位的防火等级，为建筑及各类设施提供可靠的安全屏障，以底层技术材料创新推动了楼宇、新能源车场、充电桩建设等公共安全的技术进步与升级。但截止目前，针对新能源车位火灾防护隔断尚未有统一的标准对其技术条件进行规范。《新能源车位火灾防护隔断》团体标准的制订，旨在填补该领域的标准空白，从而规范市场，促进产业标准化应用水平升级，引领行业高质量发展。</w:t>
      </w:r>
    </w:p>
    <w:p w14:paraId="42E22283">
      <w:pPr>
        <w:snapToGrid w:val="0"/>
        <w:spacing w:line="360" w:lineRule="auto"/>
        <w:rPr>
          <w:rFonts w:hint="eastAsia" w:ascii="仿宋" w:hAnsi="仿宋" w:eastAsia="仿宋" w:cs="仿宋_GB2312"/>
          <w:color w:val="auto"/>
          <w:sz w:val="30"/>
          <w:szCs w:val="30"/>
        </w:rPr>
      </w:pPr>
    </w:p>
    <w:p w14:paraId="7852DFEA">
      <w:pPr>
        <w:numPr>
          <w:ilvl w:val="0"/>
          <w:numId w:val="1"/>
        </w:num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起草单位组成及编制组成员名单</w:t>
      </w:r>
    </w:p>
    <w:p w14:paraId="1E651C88">
      <w:pPr>
        <w:snapToGrid w:val="0"/>
        <w:spacing w:line="360" w:lineRule="auto"/>
        <w:rPr>
          <w:rFonts w:hint="eastAsia" w:ascii="黑体" w:hAnsi="黑体" w:eastAsia="黑体" w:cs="仿宋_GB2312"/>
          <w:color w:val="auto"/>
          <w:sz w:val="30"/>
          <w:szCs w:val="30"/>
        </w:rPr>
      </w:pPr>
      <w:r>
        <w:rPr>
          <w:rFonts w:hint="eastAsia" w:ascii="黑体" w:hAnsi="黑体" w:eastAsia="黑体" w:cs="仿宋_GB2312"/>
          <w:color w:val="auto"/>
          <w:sz w:val="30"/>
          <w:szCs w:val="30"/>
        </w:rPr>
        <w:t xml:space="preserve">  </w:t>
      </w:r>
      <w:r>
        <w:rPr>
          <w:rFonts w:hint="eastAsia"/>
          <w:bCs/>
          <w:color w:val="auto"/>
          <w:sz w:val="30"/>
          <w:szCs w:val="30"/>
        </w:rPr>
        <w:t xml:space="preserve">  本标准的起草单位具有广泛的行业和地域代表性，能保证编制工作费用，编制组成员具有较强的专业背景，并能保证编制工作时间，起草单位及编制组成员名单如下：</w:t>
      </w:r>
    </w:p>
    <w:p w14:paraId="28043F16">
      <w:pPr>
        <w:snapToGrid w:val="0"/>
        <w:spacing w:line="360" w:lineRule="auto"/>
        <w:rPr>
          <w:bCs/>
          <w:color w:val="auto"/>
          <w:sz w:val="30"/>
          <w:szCs w:val="30"/>
        </w:rPr>
      </w:pPr>
      <w:r>
        <w:rPr>
          <w:rFonts w:hint="eastAsia"/>
          <w:bCs/>
          <w:color w:val="auto"/>
          <w:sz w:val="30"/>
          <w:szCs w:val="30"/>
        </w:rPr>
        <w:t>1、中坚特信新能源科技（苏州）有限公司：宋炜、、季俊贤、刘军、陈毅、杨伟杰、贾进文、周春</w:t>
      </w:r>
    </w:p>
    <w:p w14:paraId="45F4F2E1">
      <w:pPr>
        <w:snapToGrid w:val="0"/>
        <w:spacing w:line="360" w:lineRule="auto"/>
        <w:rPr>
          <w:bCs/>
          <w:color w:val="auto"/>
          <w:sz w:val="30"/>
          <w:szCs w:val="30"/>
        </w:rPr>
      </w:pPr>
      <w:r>
        <w:rPr>
          <w:rFonts w:hint="eastAsia"/>
          <w:bCs/>
          <w:color w:val="auto"/>
          <w:sz w:val="30"/>
          <w:szCs w:val="30"/>
        </w:rPr>
        <w:t>2、应急管理部天津消防研究所：杨亮、白斌</w:t>
      </w:r>
    </w:p>
    <w:p w14:paraId="7478EAEA">
      <w:pPr>
        <w:snapToGrid w:val="0"/>
        <w:spacing w:line="360" w:lineRule="auto"/>
        <w:rPr>
          <w:bCs/>
          <w:color w:val="auto"/>
          <w:sz w:val="30"/>
          <w:szCs w:val="30"/>
        </w:rPr>
      </w:pPr>
      <w:r>
        <w:rPr>
          <w:rFonts w:hint="eastAsia"/>
          <w:bCs/>
          <w:color w:val="auto"/>
          <w:sz w:val="30"/>
          <w:szCs w:val="30"/>
        </w:rPr>
        <w:t>3、中国科学技术大学：宗若雯、姚斌</w:t>
      </w:r>
    </w:p>
    <w:p w14:paraId="31F5906F">
      <w:pPr>
        <w:snapToGrid w:val="0"/>
        <w:spacing w:line="360" w:lineRule="auto"/>
        <w:rPr>
          <w:bCs/>
          <w:color w:val="auto"/>
          <w:sz w:val="30"/>
          <w:szCs w:val="30"/>
        </w:rPr>
      </w:pPr>
      <w:r>
        <w:rPr>
          <w:rFonts w:hint="eastAsia"/>
          <w:bCs/>
          <w:color w:val="auto"/>
          <w:sz w:val="30"/>
          <w:szCs w:val="30"/>
        </w:rPr>
        <w:t>4、苏州市消防救援支队：吴昊</w:t>
      </w:r>
    </w:p>
    <w:p w14:paraId="34118B26">
      <w:pPr>
        <w:snapToGrid w:val="0"/>
        <w:spacing w:line="360" w:lineRule="auto"/>
        <w:rPr>
          <w:bCs/>
          <w:color w:val="auto"/>
          <w:sz w:val="30"/>
          <w:szCs w:val="30"/>
        </w:rPr>
      </w:pPr>
      <w:r>
        <w:rPr>
          <w:rFonts w:hint="eastAsia"/>
          <w:bCs/>
          <w:color w:val="auto"/>
          <w:sz w:val="30"/>
          <w:szCs w:val="30"/>
        </w:rPr>
        <w:t>5、海鹰空天材料研究院（苏州）有限责任公司：雷雨、张陆</w:t>
      </w:r>
    </w:p>
    <w:p w14:paraId="3AF7B87A">
      <w:pPr>
        <w:snapToGrid w:val="0"/>
        <w:spacing w:line="360" w:lineRule="auto"/>
        <w:rPr>
          <w:bCs/>
          <w:color w:val="auto"/>
          <w:sz w:val="30"/>
          <w:szCs w:val="30"/>
        </w:rPr>
      </w:pPr>
      <w:r>
        <w:rPr>
          <w:rFonts w:hint="eastAsia"/>
          <w:bCs/>
          <w:color w:val="auto"/>
          <w:sz w:val="30"/>
          <w:szCs w:val="30"/>
        </w:rPr>
        <w:t>6、中铁建工集团第三建设有限公司：刘书民、高宁</w:t>
      </w:r>
    </w:p>
    <w:p w14:paraId="4C6CFA9C">
      <w:pPr>
        <w:snapToGrid w:val="0"/>
        <w:spacing w:line="360" w:lineRule="auto"/>
        <w:rPr>
          <w:bCs/>
          <w:color w:val="auto"/>
          <w:sz w:val="30"/>
          <w:szCs w:val="30"/>
        </w:rPr>
      </w:pPr>
      <w:r>
        <w:rPr>
          <w:rFonts w:hint="eastAsia"/>
          <w:bCs/>
          <w:color w:val="auto"/>
          <w:sz w:val="30"/>
          <w:szCs w:val="30"/>
        </w:rPr>
        <w:t>7、浙江清华长三角研究院：姚辉芳、夏迪</w:t>
      </w:r>
    </w:p>
    <w:p w14:paraId="10BC208E">
      <w:pPr>
        <w:snapToGrid w:val="0"/>
        <w:spacing w:line="360" w:lineRule="auto"/>
        <w:rPr>
          <w:bCs/>
          <w:color w:val="auto"/>
          <w:sz w:val="30"/>
          <w:szCs w:val="30"/>
        </w:rPr>
      </w:pPr>
      <w:r>
        <w:rPr>
          <w:rFonts w:hint="eastAsia"/>
          <w:bCs/>
          <w:color w:val="auto"/>
          <w:sz w:val="30"/>
          <w:szCs w:val="30"/>
        </w:rPr>
        <w:t>8、小蜜蜂互联(北京)消防信息技术有限公司：王强军</w:t>
      </w:r>
    </w:p>
    <w:p w14:paraId="509DFE55">
      <w:pPr>
        <w:snapToGrid w:val="0"/>
        <w:spacing w:line="360" w:lineRule="auto"/>
        <w:rPr>
          <w:bCs/>
          <w:color w:val="auto"/>
          <w:sz w:val="30"/>
          <w:szCs w:val="30"/>
        </w:rPr>
      </w:pPr>
      <w:r>
        <w:rPr>
          <w:rFonts w:hint="eastAsia"/>
          <w:bCs/>
          <w:color w:val="auto"/>
          <w:sz w:val="30"/>
          <w:szCs w:val="30"/>
        </w:rPr>
        <w:t>9、中安易游应急装备科技（北京）有限公司：张树</w:t>
      </w:r>
    </w:p>
    <w:p w14:paraId="18D5C6FA">
      <w:pPr>
        <w:snapToGrid w:val="0"/>
        <w:spacing w:line="360" w:lineRule="auto"/>
        <w:rPr>
          <w:bCs/>
          <w:color w:val="auto"/>
          <w:sz w:val="30"/>
          <w:szCs w:val="30"/>
        </w:rPr>
      </w:pPr>
      <w:r>
        <w:rPr>
          <w:rFonts w:hint="eastAsia"/>
          <w:bCs/>
          <w:color w:val="auto"/>
          <w:sz w:val="30"/>
          <w:szCs w:val="30"/>
        </w:rPr>
        <w:t>10、江苏华淼消防科技有限公司：陈闽玲</w:t>
      </w:r>
    </w:p>
    <w:p w14:paraId="7957FB71">
      <w:pPr>
        <w:snapToGrid w:val="0"/>
        <w:spacing w:line="360" w:lineRule="auto"/>
        <w:rPr>
          <w:bCs/>
          <w:color w:val="auto"/>
          <w:sz w:val="30"/>
          <w:szCs w:val="30"/>
        </w:rPr>
      </w:pPr>
      <w:r>
        <w:rPr>
          <w:rFonts w:hint="eastAsia"/>
          <w:bCs/>
          <w:color w:val="auto"/>
          <w:sz w:val="30"/>
          <w:szCs w:val="30"/>
        </w:rPr>
        <w:t>11、西安亚弘泰新能源科技有限公司：刘远见</w:t>
      </w:r>
    </w:p>
    <w:p w14:paraId="2A20BBCE">
      <w:pPr>
        <w:snapToGrid w:val="0"/>
        <w:spacing w:line="360" w:lineRule="auto"/>
        <w:rPr>
          <w:bCs/>
          <w:color w:val="auto"/>
          <w:sz w:val="30"/>
          <w:szCs w:val="30"/>
        </w:rPr>
      </w:pPr>
      <w:r>
        <w:rPr>
          <w:rFonts w:hint="eastAsia"/>
          <w:bCs/>
          <w:color w:val="auto"/>
          <w:sz w:val="30"/>
          <w:szCs w:val="30"/>
        </w:rPr>
        <w:t>12、山东大兵应急救援有限公司：刘磊</w:t>
      </w:r>
    </w:p>
    <w:p w14:paraId="68B6D46F">
      <w:pPr>
        <w:snapToGrid w:val="0"/>
        <w:spacing w:line="360" w:lineRule="auto"/>
        <w:rPr>
          <w:bCs/>
          <w:color w:val="auto"/>
          <w:sz w:val="30"/>
          <w:szCs w:val="30"/>
        </w:rPr>
      </w:pPr>
      <w:r>
        <w:rPr>
          <w:rFonts w:hint="eastAsia"/>
          <w:bCs/>
          <w:color w:val="auto"/>
          <w:sz w:val="30"/>
          <w:szCs w:val="30"/>
        </w:rPr>
        <w:t>13、四川法斯特消防安全性能评估有限公司：杜毅</w:t>
      </w:r>
    </w:p>
    <w:p w14:paraId="0BD707CB">
      <w:pPr>
        <w:snapToGrid w:val="0"/>
        <w:spacing w:line="360" w:lineRule="auto"/>
        <w:rPr>
          <w:bCs/>
          <w:color w:val="auto"/>
          <w:sz w:val="30"/>
          <w:szCs w:val="30"/>
        </w:rPr>
      </w:pPr>
      <w:r>
        <w:rPr>
          <w:rFonts w:hint="eastAsia"/>
          <w:bCs/>
          <w:color w:val="auto"/>
          <w:sz w:val="30"/>
          <w:szCs w:val="30"/>
        </w:rPr>
        <w:t>14、上海国东高新技术有限公司：马哲、胡建中、薛璍</w:t>
      </w:r>
    </w:p>
    <w:p w14:paraId="17EE100B">
      <w:pPr>
        <w:snapToGrid w:val="0"/>
        <w:spacing w:line="360" w:lineRule="auto"/>
        <w:rPr>
          <w:bCs/>
          <w:color w:val="auto"/>
          <w:sz w:val="30"/>
          <w:szCs w:val="30"/>
        </w:rPr>
      </w:pPr>
      <w:r>
        <w:rPr>
          <w:rFonts w:hint="eastAsia"/>
          <w:bCs/>
          <w:color w:val="auto"/>
          <w:sz w:val="30"/>
          <w:szCs w:val="30"/>
        </w:rPr>
        <w:t>15、中海发展(苏州)有限公司：王将</w:t>
      </w:r>
    </w:p>
    <w:p w14:paraId="638B4D57">
      <w:pPr>
        <w:snapToGrid w:val="0"/>
        <w:spacing w:line="360" w:lineRule="auto"/>
        <w:ind w:firstLine="600" w:firstLineChars="200"/>
        <w:rPr>
          <w:rFonts w:hint="eastAsia" w:ascii="黑体" w:hAnsi="黑体" w:eastAsia="黑体" w:cs="仿宋_GB2312"/>
          <w:color w:val="auto"/>
          <w:sz w:val="30"/>
          <w:szCs w:val="30"/>
        </w:rPr>
      </w:pPr>
    </w:p>
    <w:p w14:paraId="5352B769">
      <w:pPr>
        <w:snapToGrid w:val="0"/>
        <w:spacing w:line="360" w:lineRule="auto"/>
        <w:ind w:firstLine="600" w:firstLineChars="200"/>
        <w:rPr>
          <w:bCs/>
          <w:color w:val="auto"/>
          <w:sz w:val="30"/>
          <w:szCs w:val="30"/>
        </w:rPr>
      </w:pPr>
      <w:r>
        <w:rPr>
          <w:rFonts w:hint="eastAsia" w:ascii="黑体" w:hAnsi="黑体" w:eastAsia="黑体" w:cs="仿宋_GB2312"/>
          <w:color w:val="auto"/>
          <w:sz w:val="30"/>
          <w:szCs w:val="30"/>
        </w:rPr>
        <w:t>三、标准编制的工作基础</w:t>
      </w:r>
    </w:p>
    <w:p w14:paraId="1EBA441D">
      <w:pPr>
        <w:snapToGrid w:val="0"/>
        <w:spacing w:line="360" w:lineRule="auto"/>
        <w:ind w:firstLine="600" w:firstLineChars="200"/>
        <w:rPr>
          <w:bCs/>
          <w:color w:val="auto"/>
          <w:sz w:val="30"/>
          <w:szCs w:val="30"/>
        </w:rPr>
      </w:pPr>
      <w:bookmarkStart w:id="1" w:name="OLE_LINK2"/>
      <w:r>
        <w:rPr>
          <w:rFonts w:hint="eastAsia"/>
          <w:bCs/>
          <w:color w:val="auto"/>
          <w:sz w:val="30"/>
          <w:szCs w:val="30"/>
        </w:rPr>
        <w:t>本标准主编单位及参编单位长期从事新能源消防、阻燃隔热材料、火灾防控、建筑防火等领域的技术研发、产品制造与工程应用，具备扎实的科研能力、试验条件、工程实践与行业推广基础，能够有效支撑本标准的编制、验证与落地实施。</w:t>
      </w:r>
    </w:p>
    <w:p w14:paraId="6AD3D98F">
      <w:pPr>
        <w:snapToGrid w:val="0"/>
        <w:spacing w:line="360" w:lineRule="auto"/>
        <w:rPr>
          <w:bCs/>
          <w:color w:val="auto"/>
          <w:sz w:val="30"/>
          <w:szCs w:val="30"/>
        </w:rPr>
      </w:pPr>
      <w:r>
        <w:rPr>
          <w:rFonts w:hint="eastAsia"/>
          <w:bCs/>
          <w:color w:val="auto"/>
          <w:sz w:val="30"/>
          <w:szCs w:val="30"/>
        </w:rPr>
        <w:t>1、技术研究基础</w:t>
      </w:r>
    </w:p>
    <w:p w14:paraId="5C4E38A9">
      <w:pPr>
        <w:snapToGrid w:val="0"/>
        <w:spacing w:line="360" w:lineRule="auto"/>
        <w:ind w:firstLine="600" w:firstLineChars="200"/>
        <w:rPr>
          <w:bCs/>
          <w:color w:val="auto"/>
          <w:sz w:val="30"/>
          <w:szCs w:val="30"/>
        </w:rPr>
      </w:pPr>
      <w:r>
        <w:rPr>
          <w:rFonts w:hint="eastAsia"/>
          <w:bCs/>
          <w:color w:val="auto"/>
          <w:sz w:val="30"/>
          <w:szCs w:val="30"/>
        </w:rPr>
        <w:t>各参编单位围绕纳米陶瓷防火隔热材料、移动防火隔断、新能源热失控灭火、车位级主动防火系统等关键技术开展了持续研究，拥有多项核心专利与自主知识产权，完成了大量试验验证与性能分析，形成了成熟的技术路线与理论体系，为本标准编制提供了坚实的技术支撑。</w:t>
      </w:r>
    </w:p>
    <w:p w14:paraId="3FE09305">
      <w:pPr>
        <w:snapToGrid w:val="0"/>
        <w:spacing w:line="360" w:lineRule="auto"/>
        <w:rPr>
          <w:bCs/>
          <w:color w:val="auto"/>
          <w:sz w:val="30"/>
          <w:szCs w:val="30"/>
        </w:rPr>
      </w:pPr>
      <w:r>
        <w:rPr>
          <w:rFonts w:hint="eastAsia"/>
          <w:bCs/>
          <w:color w:val="auto"/>
          <w:sz w:val="30"/>
          <w:szCs w:val="30"/>
        </w:rPr>
        <w:t>2、产品研发与生产基础</w:t>
      </w:r>
    </w:p>
    <w:p w14:paraId="257508AD">
      <w:pPr>
        <w:snapToGrid w:val="0"/>
        <w:spacing w:line="360" w:lineRule="auto"/>
        <w:ind w:firstLine="600" w:firstLineChars="200"/>
        <w:rPr>
          <w:bCs/>
          <w:color w:val="auto"/>
          <w:sz w:val="30"/>
          <w:szCs w:val="30"/>
        </w:rPr>
      </w:pPr>
      <w:r>
        <w:rPr>
          <w:rFonts w:hint="eastAsia"/>
          <w:bCs/>
          <w:color w:val="auto"/>
          <w:sz w:val="30"/>
          <w:szCs w:val="30"/>
        </w:rPr>
        <w:t>主编及参编单位具备规模化生产、质量控制、检测检验能力，相关产品已通过GB 8624 A1 级不燃、消防产品型式检验、环保安全等权威检测，技术指标稳定可靠，具备行业领先水平，可为本标准提供充分的产品数据、实测性能、应用案例支撑。</w:t>
      </w:r>
    </w:p>
    <w:p w14:paraId="15DA90DE">
      <w:pPr>
        <w:snapToGrid w:val="0"/>
        <w:spacing w:line="360" w:lineRule="auto"/>
        <w:rPr>
          <w:bCs/>
          <w:color w:val="auto"/>
          <w:sz w:val="30"/>
          <w:szCs w:val="30"/>
        </w:rPr>
      </w:pPr>
      <w:r>
        <w:rPr>
          <w:rFonts w:hint="eastAsia"/>
          <w:bCs/>
          <w:color w:val="auto"/>
          <w:sz w:val="30"/>
          <w:szCs w:val="30"/>
        </w:rPr>
        <w:t>3、工程应用与推广基础</w:t>
      </w:r>
    </w:p>
    <w:p w14:paraId="7CF45B14">
      <w:pPr>
        <w:snapToGrid w:val="0"/>
        <w:spacing w:line="360" w:lineRule="auto"/>
        <w:ind w:firstLine="600" w:firstLineChars="200"/>
        <w:rPr>
          <w:bCs/>
          <w:color w:val="auto"/>
          <w:sz w:val="30"/>
          <w:szCs w:val="30"/>
        </w:rPr>
      </w:pPr>
      <w:r>
        <w:rPr>
          <w:rFonts w:hint="eastAsia"/>
          <w:bCs/>
          <w:color w:val="auto"/>
          <w:sz w:val="30"/>
          <w:szCs w:val="30"/>
        </w:rPr>
        <w:t>相关技术与产品已在地下车库、公共停车场、新能源充电站等场景实现应用，积累了丰富的工程实践经验，得到市场与用户的广泛认可，具备良好的行业推广基础，能够确保标准发布后可落地、可执行、可推广。</w:t>
      </w:r>
    </w:p>
    <w:p w14:paraId="45570494">
      <w:pPr>
        <w:snapToGrid w:val="0"/>
        <w:spacing w:line="360" w:lineRule="auto"/>
        <w:rPr>
          <w:bCs/>
          <w:color w:val="auto"/>
          <w:sz w:val="30"/>
          <w:szCs w:val="30"/>
        </w:rPr>
      </w:pPr>
      <w:r>
        <w:rPr>
          <w:rFonts w:hint="eastAsia"/>
          <w:bCs/>
          <w:color w:val="auto"/>
          <w:sz w:val="30"/>
          <w:szCs w:val="30"/>
        </w:rPr>
        <w:t>4、标准编制与行业服务能力</w:t>
      </w:r>
    </w:p>
    <w:p w14:paraId="3657746A">
      <w:pPr>
        <w:snapToGrid w:val="0"/>
        <w:spacing w:line="360" w:lineRule="auto"/>
        <w:ind w:firstLine="600" w:firstLineChars="200"/>
        <w:rPr>
          <w:bCs/>
          <w:color w:val="auto"/>
          <w:sz w:val="30"/>
          <w:szCs w:val="30"/>
        </w:rPr>
      </w:pPr>
      <w:r>
        <w:rPr>
          <w:rFonts w:hint="eastAsia"/>
          <w:bCs/>
          <w:color w:val="auto"/>
          <w:sz w:val="30"/>
          <w:szCs w:val="30"/>
        </w:rPr>
        <w:t>主编单位及参编单位多次参与国家、行业、团体标准的研究、编制与宣贯工作，熟悉标准编制流程、编写规范与技术要求，具备较强的组织协调、调研分析、文稿编制能力，能够高效推进本标准编制工作，确保标准科学性、先进性与实用性。</w:t>
      </w:r>
    </w:p>
    <w:p w14:paraId="123FA74B">
      <w:pPr>
        <w:snapToGrid w:val="0"/>
        <w:spacing w:line="360" w:lineRule="auto"/>
        <w:ind w:firstLine="600" w:firstLineChars="200"/>
        <w:rPr>
          <w:bCs/>
          <w:color w:val="auto"/>
          <w:sz w:val="30"/>
          <w:szCs w:val="30"/>
        </w:rPr>
      </w:pPr>
      <w:r>
        <w:rPr>
          <w:rFonts w:hint="eastAsia"/>
          <w:bCs/>
          <w:color w:val="auto"/>
          <w:sz w:val="30"/>
          <w:szCs w:val="30"/>
        </w:rPr>
        <w:t>综上，主编单位与参编单位在</w:t>
      </w:r>
      <w:bookmarkStart w:id="2" w:name="_GoBack"/>
      <w:bookmarkEnd w:id="2"/>
      <w:r>
        <w:rPr>
          <w:rFonts w:hint="eastAsia"/>
          <w:bCs/>
          <w:color w:val="auto"/>
          <w:sz w:val="30"/>
          <w:szCs w:val="30"/>
        </w:rPr>
        <w:t>技术研发、产品制造、工程应用、标准编制等方面基础扎实、优势互补，完全具备承担本标准编制的能力与条件。</w:t>
      </w:r>
    </w:p>
    <w:bookmarkEnd w:id="1"/>
    <w:p w14:paraId="2753079F">
      <w:pPr>
        <w:snapToGrid w:val="0"/>
        <w:spacing w:line="360" w:lineRule="auto"/>
        <w:rPr>
          <w:rFonts w:hint="eastAsia" w:ascii="仿宋" w:hAnsi="仿宋" w:eastAsia="仿宋"/>
          <w:bCs/>
          <w:color w:val="auto"/>
          <w:sz w:val="30"/>
          <w:szCs w:val="30"/>
        </w:rPr>
      </w:pPr>
    </w:p>
    <w:p w14:paraId="37581563">
      <w:p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四、前期筹备工作情况</w:t>
      </w:r>
    </w:p>
    <w:p w14:paraId="49393A66">
      <w:pPr>
        <w:snapToGrid w:val="0"/>
        <w:spacing w:line="360" w:lineRule="auto"/>
        <w:ind w:firstLine="600"/>
        <w:rPr>
          <w:bCs/>
          <w:color w:val="auto"/>
          <w:sz w:val="30"/>
          <w:szCs w:val="30"/>
        </w:rPr>
      </w:pPr>
      <w:r>
        <w:rPr>
          <w:rFonts w:hint="eastAsia"/>
          <w:bCs/>
          <w:color w:val="auto"/>
          <w:sz w:val="30"/>
          <w:szCs w:val="30"/>
        </w:rPr>
        <w:t>成立标准编制组，编制组成员具有相关专业背景；标准编制工作所涉及经费已安排。</w:t>
      </w:r>
    </w:p>
    <w:p w14:paraId="3382472D">
      <w:pPr>
        <w:snapToGrid w:val="0"/>
        <w:spacing w:line="360" w:lineRule="auto"/>
        <w:ind w:firstLine="600"/>
        <w:rPr>
          <w:bCs/>
          <w:color w:val="auto"/>
          <w:sz w:val="30"/>
          <w:szCs w:val="30"/>
        </w:rPr>
      </w:pPr>
    </w:p>
    <w:p w14:paraId="27F1674F">
      <w:pPr>
        <w:numPr>
          <w:ilvl w:val="0"/>
          <w:numId w:val="2"/>
        </w:num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主要章节内容</w:t>
      </w:r>
    </w:p>
    <w:p w14:paraId="731512F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1、范围</w:t>
      </w:r>
    </w:p>
    <w:p w14:paraId="0A869D8D">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本文件规定了新能源车位火灾防护隔断的主要构件性能要求、技术要求、试验方法、检验规则、标志、包装、运输和贮存。</w:t>
      </w:r>
    </w:p>
    <w:p w14:paraId="6956E6B0">
      <w:pPr>
        <w:spacing w:line="360" w:lineRule="auto"/>
        <w:ind w:firstLine="640" w:firstLineChars="200"/>
        <w:rPr>
          <w:rFonts w:hint="eastAsia" w:ascii="宋体" w:hAnsi="宋体" w:cs="宋体"/>
          <w:color w:val="auto"/>
          <w:sz w:val="28"/>
          <w:szCs w:val="28"/>
        </w:rPr>
      </w:pPr>
      <w:r>
        <w:rPr>
          <w:rFonts w:hint="eastAsia" w:ascii="宋体" w:hAnsi="宋体" w:cs="宋体"/>
          <w:color w:val="auto"/>
          <w:sz w:val="32"/>
          <w:szCs w:val="32"/>
        </w:rPr>
        <w:t>本文件适用于新能源车位（纯电动小型载客汽车及电动自行车）火灾防护隔断（以下简称“防护隔断”）的生产与检验。</w:t>
      </w:r>
    </w:p>
    <w:p w14:paraId="45DCDE2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2、规范性引用文件：列举了标准中所引用的规范性文件。</w:t>
      </w:r>
    </w:p>
    <w:p w14:paraId="4544684C">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3、术语和定义：规定了GB/T 18930 界定的术语适用于本文件，同时对新能源车位火灾防护隔断进行定义。</w:t>
      </w:r>
    </w:p>
    <w:p w14:paraId="6C62006D">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4、主要构件性能要求：对新能源车位火灾防护隔断的主要构件，包括防火隔热板性能、所用面材、所用隔断骨架以及紧固件进行性能规定。</w:t>
      </w:r>
    </w:p>
    <w:p w14:paraId="06B7471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5、技术要求：对新能源车位火灾防护隔断的外观、尺寸偏差和防火性能进行规定</w:t>
      </w:r>
      <w:r>
        <w:rPr>
          <w:rFonts w:hint="eastAsia" w:ascii="宋体" w:hAnsi="宋体" w:cs="宋体"/>
          <w:color w:val="auto"/>
          <w:sz w:val="32"/>
          <w:szCs w:val="32"/>
          <w:lang w:eastAsia="zh-CN"/>
        </w:rPr>
        <w:t>。</w:t>
      </w:r>
      <w:r>
        <w:rPr>
          <w:rFonts w:hint="eastAsia" w:ascii="宋体" w:hAnsi="宋体" w:cs="宋体"/>
          <w:color w:val="auto"/>
          <w:sz w:val="32"/>
          <w:szCs w:val="32"/>
          <w:lang w:val="en-US" w:eastAsia="zh-CN"/>
        </w:rPr>
        <w:t>防火性能的</w:t>
      </w:r>
      <w:r>
        <w:rPr>
          <w:rFonts w:hint="eastAsia" w:ascii="宋体" w:hAnsi="宋体" w:cs="宋体"/>
          <w:color w:val="auto"/>
          <w:sz w:val="32"/>
          <w:szCs w:val="32"/>
          <w:lang w:eastAsia="zh-CN"/>
        </w:rPr>
        <w:t>燃烧时间，规定了燃烧物的种类、体积、数量、测试过程</w:t>
      </w:r>
      <w:r>
        <w:rPr>
          <w:rFonts w:hint="eastAsia" w:ascii="宋体" w:hAnsi="宋体" w:cs="宋体"/>
          <w:color w:val="auto"/>
          <w:sz w:val="32"/>
          <w:szCs w:val="32"/>
          <w:lang w:val="en-US" w:eastAsia="zh-CN"/>
        </w:rPr>
        <w:t>等</w:t>
      </w:r>
      <w:r>
        <w:rPr>
          <w:rFonts w:hint="eastAsia" w:ascii="宋体" w:hAnsi="宋体" w:cs="宋体"/>
          <w:color w:val="auto"/>
          <w:sz w:val="32"/>
          <w:szCs w:val="32"/>
        </w:rPr>
        <w:t>。</w:t>
      </w:r>
    </w:p>
    <w:p w14:paraId="40300491">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6、试验方法：描述了外观、尺寸偏差和防火性能相应的试验方法。</w:t>
      </w:r>
    </w:p>
    <w:p w14:paraId="0D2C112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7、检验规则：规定了防护隔断的检验包括出厂检验和型式检验，对检验项目、抽样、判定规则进行规定。</w:t>
      </w:r>
    </w:p>
    <w:p w14:paraId="6E9A12C0">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10、标志、包装、运输、贮存：对新能源车位火灾防护隔断标志、包装、运输、贮存几方面的规定。</w:t>
      </w:r>
    </w:p>
    <w:p w14:paraId="27CE41F1">
      <w:pPr>
        <w:snapToGrid w:val="0"/>
        <w:spacing w:line="360" w:lineRule="auto"/>
        <w:rPr>
          <w:rFonts w:hint="eastAsia" w:ascii="仿宋" w:hAnsi="仿宋" w:eastAsia="仿宋" w:cs="仿宋_GB2312"/>
          <w:color w:val="auto"/>
          <w:sz w:val="30"/>
          <w:szCs w:val="30"/>
        </w:rPr>
      </w:pPr>
    </w:p>
    <w:p w14:paraId="2EC48D7F">
      <w:p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六、需要调查、研究、解决的主要问题，以及必要的测试验证项目</w:t>
      </w:r>
    </w:p>
    <w:p w14:paraId="45751DE6">
      <w:pPr>
        <w:snapToGrid w:val="0"/>
        <w:spacing w:line="360" w:lineRule="auto"/>
        <w:ind w:firstLine="610"/>
        <w:rPr>
          <w:rFonts w:hint="eastAsia" w:ascii="宋体" w:hAnsi="宋体" w:cs="宋体"/>
          <w:color w:val="auto"/>
          <w:sz w:val="32"/>
          <w:szCs w:val="32"/>
        </w:rPr>
      </w:pPr>
      <w:r>
        <w:rPr>
          <w:rFonts w:hint="eastAsia" w:ascii="宋体" w:hAnsi="宋体" w:cs="宋体"/>
          <w:color w:val="auto"/>
          <w:sz w:val="32"/>
          <w:szCs w:val="32"/>
        </w:rPr>
        <w:t>1、主要问题：新能源车位火灾防护隔断主要构件的性能要求，产品防火性能试验的设计。</w:t>
      </w:r>
    </w:p>
    <w:p w14:paraId="3908D573">
      <w:pPr>
        <w:snapToGrid w:val="0"/>
        <w:spacing w:line="360" w:lineRule="auto"/>
        <w:ind w:firstLine="610"/>
        <w:rPr>
          <w:rFonts w:hint="eastAsia" w:ascii="宋体" w:hAnsi="宋体" w:cs="宋体"/>
          <w:color w:val="auto"/>
          <w:sz w:val="32"/>
          <w:szCs w:val="32"/>
        </w:rPr>
      </w:pPr>
      <w:r>
        <w:rPr>
          <w:rFonts w:hint="eastAsia" w:ascii="宋体" w:hAnsi="宋体" w:cs="宋体"/>
          <w:color w:val="auto"/>
          <w:sz w:val="32"/>
          <w:szCs w:val="32"/>
        </w:rPr>
        <w:t>2、必要的测试验证项目：防火性能试验，试验样品、试验准备、试验步骤、试验记录和结果判定等内容见标准附录 A。</w:t>
      </w:r>
    </w:p>
    <w:p w14:paraId="22F16EE7">
      <w:pPr>
        <w:snapToGrid w:val="0"/>
        <w:spacing w:line="360" w:lineRule="auto"/>
        <w:ind w:firstLine="610"/>
        <w:rPr>
          <w:rFonts w:hint="eastAsia" w:ascii="宋体" w:hAnsi="宋体" w:cs="宋体"/>
          <w:color w:val="auto"/>
          <w:sz w:val="32"/>
          <w:szCs w:val="32"/>
        </w:rPr>
      </w:pPr>
    </w:p>
    <w:p w14:paraId="23384A65">
      <w:p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七、编制组成员工作分工</w:t>
      </w:r>
    </w:p>
    <w:p w14:paraId="418ABA31">
      <w:pPr>
        <w:snapToGrid w:val="0"/>
        <w:spacing w:line="360" w:lineRule="auto"/>
        <w:ind w:firstLine="600" w:firstLineChars="200"/>
        <w:rPr>
          <w:bCs/>
          <w:color w:val="auto"/>
          <w:sz w:val="30"/>
          <w:szCs w:val="30"/>
        </w:rPr>
      </w:pPr>
      <w:r>
        <w:rPr>
          <w:rFonts w:hint="eastAsia"/>
          <w:bCs/>
          <w:color w:val="auto"/>
          <w:sz w:val="30"/>
          <w:szCs w:val="30"/>
        </w:rPr>
        <w:t>宋炜负责全面协调标准起草工作，包括工作组成员任务分配、分工，督促工作组人员按照进度完成相关任务。同时，宋炜、杨亮、吴昊、雷雨、宗若雯、胡建中、姚辉芳、刘书民负责初稿编写，各阶段标准文本的整体内容汇总、整理、编写和修改。季俊贤、白斌、马哲、薛璍、刘军、陈毅、杨伟杰、贾进文、张陆、姚斌、高宁、夏迪、周春、王强军、张树、陈闽玲、刘远见、刘磊、杜毅、王将负责行业信息和资料收集工作。</w:t>
      </w:r>
    </w:p>
    <w:p w14:paraId="0215B7CE">
      <w:pPr>
        <w:snapToGrid w:val="0"/>
        <w:spacing w:line="360" w:lineRule="auto"/>
        <w:ind w:firstLine="600" w:firstLineChars="200"/>
        <w:rPr>
          <w:bCs/>
          <w:color w:val="auto"/>
          <w:sz w:val="30"/>
          <w:szCs w:val="30"/>
        </w:rPr>
      </w:pPr>
    </w:p>
    <w:p w14:paraId="163910B0">
      <w:pPr>
        <w:numPr>
          <w:ilvl w:val="0"/>
          <w:numId w:val="3"/>
        </w:num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工作进度计划</w:t>
      </w:r>
    </w:p>
    <w:p w14:paraId="2641E1EB">
      <w:pPr>
        <w:snapToGrid w:val="0"/>
        <w:spacing w:line="360" w:lineRule="auto"/>
        <w:ind w:firstLine="610"/>
        <w:rPr>
          <w:rFonts w:hint="eastAsia" w:ascii="宋体" w:hAnsi="宋体" w:cs="宋体"/>
          <w:color w:val="auto"/>
          <w:sz w:val="32"/>
          <w:szCs w:val="32"/>
        </w:rPr>
      </w:pPr>
      <w:r>
        <w:rPr>
          <w:rFonts w:hint="eastAsia" w:ascii="宋体" w:hAnsi="宋体" w:cs="宋体"/>
          <w:color w:val="auto"/>
          <w:sz w:val="32"/>
          <w:szCs w:val="32"/>
        </w:rPr>
        <w:t>2025 年 4 月，项目成立编制组，至 2025 年 6 月，历经多次反复修改，完成《车位火灾防护隔断》（初稿）。</w:t>
      </w:r>
    </w:p>
    <w:p w14:paraId="4884C4C5">
      <w:pPr>
        <w:snapToGrid w:val="0"/>
        <w:spacing w:line="360" w:lineRule="auto"/>
        <w:ind w:firstLine="610"/>
        <w:rPr>
          <w:rFonts w:hint="eastAsia" w:ascii="宋体" w:hAnsi="宋体" w:cs="宋体"/>
          <w:color w:val="auto"/>
          <w:sz w:val="32"/>
          <w:szCs w:val="32"/>
        </w:rPr>
      </w:pPr>
      <w:r>
        <w:rPr>
          <w:rFonts w:hint="eastAsia" w:ascii="宋体" w:hAnsi="宋体" w:cs="宋体"/>
          <w:color w:val="auto"/>
          <w:sz w:val="32"/>
          <w:szCs w:val="32"/>
        </w:rPr>
        <w:t>2025 年 5 月 7 日，中国消防协会组织相关专家，召开团体标准立项初审会。与会专家对立项稿进行了认真的审阅，并提出了相关修改意见及建议。编制组对专家们的意见进行了认真地梳理汇总，其中采纳 6 项、未采纳 0 项，并根据采纳的意见，对《车位火灾防护隔断》（立项稿）文本进行修改。</w:t>
      </w:r>
    </w:p>
    <w:p w14:paraId="287D8F96">
      <w:pPr>
        <w:snapToGrid w:val="0"/>
        <w:spacing w:line="360" w:lineRule="auto"/>
        <w:ind w:firstLine="610"/>
        <w:rPr>
          <w:rFonts w:hint="eastAsia" w:ascii="宋体" w:hAnsi="宋体" w:cs="宋体"/>
          <w:color w:val="auto"/>
          <w:sz w:val="32"/>
          <w:szCs w:val="32"/>
        </w:rPr>
      </w:pPr>
      <w:r>
        <w:rPr>
          <w:rFonts w:hint="eastAsia" w:ascii="宋体" w:hAnsi="宋体" w:cs="宋体"/>
          <w:color w:val="auto"/>
          <w:sz w:val="32"/>
          <w:szCs w:val="32"/>
        </w:rPr>
        <w:t>2025 年 7 月，中国消防协会下发《关于批准&lt;车位火灾防护隔断&gt;团体标准立项的函》，确立该项目正式立项。编制组完成《车位火灾防护隔断》征求意见稿文本及编制说明，提交协会秘书处，开展征求意见工作。</w:t>
      </w:r>
    </w:p>
    <w:p w14:paraId="73FA350C">
      <w:pPr>
        <w:snapToGrid w:val="0"/>
        <w:spacing w:line="360" w:lineRule="auto"/>
        <w:ind w:firstLine="610"/>
        <w:rPr>
          <w:rFonts w:hint="eastAsia" w:ascii="宋体" w:hAnsi="宋体" w:cs="宋体"/>
          <w:color w:val="auto"/>
          <w:sz w:val="32"/>
          <w:szCs w:val="32"/>
        </w:rPr>
      </w:pPr>
      <w:r>
        <w:rPr>
          <w:rFonts w:hint="eastAsia" w:ascii="宋体" w:hAnsi="宋体" w:cs="宋体"/>
          <w:color w:val="auto"/>
          <w:sz w:val="32"/>
          <w:szCs w:val="32"/>
        </w:rPr>
        <w:t>2025 年 7 月～10 月，《车位火灾防护隔断》挂网征求意见，期间收到30家单位共 30 条意见。</w:t>
      </w:r>
    </w:p>
    <w:p w14:paraId="60D1F91B">
      <w:pPr>
        <w:snapToGrid w:val="0"/>
        <w:spacing w:line="360" w:lineRule="auto"/>
        <w:ind w:firstLine="610"/>
        <w:rPr>
          <w:rFonts w:hint="eastAsia" w:ascii="宋体" w:hAnsi="宋体" w:cs="宋体"/>
          <w:color w:val="auto"/>
          <w:sz w:val="32"/>
          <w:szCs w:val="32"/>
        </w:rPr>
      </w:pPr>
      <w:r>
        <w:rPr>
          <w:rFonts w:hint="eastAsia" w:ascii="宋体" w:hAnsi="宋体" w:cs="宋体"/>
          <w:color w:val="auto"/>
          <w:sz w:val="32"/>
          <w:szCs w:val="32"/>
        </w:rPr>
        <w:t>2025年10月～2025年11月，根据征求到的意见，编制组讨论后采纳 24 项，未采纳 6 项，并根据采纳的意见，对《车位火灾防护隔断》（征求意见稿）文本进行修改，形成送审稿。</w:t>
      </w:r>
    </w:p>
    <w:p w14:paraId="724E6270">
      <w:pPr>
        <w:snapToGrid w:val="0"/>
        <w:spacing w:line="360" w:lineRule="auto"/>
        <w:ind w:firstLine="610"/>
        <w:rPr>
          <w:rFonts w:hint="eastAsia" w:ascii="宋体" w:hAnsi="宋体" w:cs="宋体"/>
          <w:color w:val="auto"/>
          <w:sz w:val="32"/>
          <w:szCs w:val="32"/>
        </w:rPr>
      </w:pPr>
      <w:r>
        <w:rPr>
          <w:rFonts w:ascii="宋体" w:hAnsi="宋体" w:cs="宋体"/>
          <w:color w:val="auto"/>
          <w:sz w:val="32"/>
          <w:szCs w:val="32"/>
        </w:rPr>
        <w:t>2025年12月11日，中国消防协会在北京组织召开了团体标准《车位火灾防护隔断》（送审稿）审查会。来自高等院校、科研机构、消防救援机构和协会等9名专家组成审查专家组</w:t>
      </w:r>
      <w:r>
        <w:rPr>
          <w:rFonts w:hint="eastAsia" w:ascii="宋体" w:hAnsi="宋体" w:cs="宋体"/>
          <w:color w:val="auto"/>
          <w:sz w:val="32"/>
          <w:szCs w:val="32"/>
        </w:rPr>
        <w:t>。</w:t>
      </w:r>
      <w:r>
        <w:rPr>
          <w:rFonts w:ascii="宋体" w:hAnsi="宋体" w:cs="宋体"/>
          <w:color w:val="auto"/>
          <w:sz w:val="32"/>
          <w:szCs w:val="32"/>
        </w:rPr>
        <w:t>审查专家组听取了编制组的工作报告、重点技术要求和征求意见汇总处理情况的介绍，对标准本文进行了逐条审查</w:t>
      </w:r>
      <w:r>
        <w:rPr>
          <w:rFonts w:hint="eastAsia" w:ascii="宋体" w:hAnsi="宋体" w:cs="宋体"/>
          <w:color w:val="auto"/>
          <w:sz w:val="32"/>
          <w:szCs w:val="32"/>
        </w:rPr>
        <w:t>，专家一致同意通过审查。会后，编制组根据专家的意见，调整标准名称为《新能源车位火灾防护隔断》，并修改完善标准内容形成报批稿 。</w:t>
      </w:r>
    </w:p>
    <w:p w14:paraId="44235687">
      <w:pPr>
        <w:snapToGrid w:val="0"/>
        <w:spacing w:line="360" w:lineRule="auto"/>
        <w:ind w:firstLine="610"/>
        <w:rPr>
          <w:rFonts w:hint="eastAsia" w:ascii="宋体" w:hAnsi="宋体" w:cs="宋体"/>
          <w:color w:val="auto"/>
          <w:sz w:val="32"/>
          <w:szCs w:val="32"/>
        </w:rPr>
      </w:pPr>
      <w:r>
        <w:rPr>
          <w:rFonts w:hint="eastAsia" w:ascii="宋体" w:hAnsi="宋体" w:cs="宋体"/>
          <w:color w:val="auto"/>
          <w:sz w:val="32"/>
          <w:szCs w:val="32"/>
        </w:rPr>
        <w:t>拟定于2026年2月提交标准报批稿、报批稿编制说明、报批报告等报批材料。</w:t>
      </w:r>
    </w:p>
    <w:p w14:paraId="1ABB4BFE">
      <w:pPr>
        <w:snapToGrid w:val="0"/>
        <w:spacing w:line="360" w:lineRule="auto"/>
        <w:ind w:firstLine="610"/>
        <w:rPr>
          <w:rFonts w:hint="eastAsia" w:ascii="宋体" w:hAnsi="宋体" w:cs="宋体"/>
          <w:color w:val="auto"/>
          <w:sz w:val="32"/>
          <w:szCs w:val="32"/>
        </w:rPr>
      </w:pPr>
    </w:p>
    <w:p w14:paraId="1E5F05AC">
      <w:pPr>
        <w:numPr>
          <w:ilvl w:val="0"/>
          <w:numId w:val="3"/>
        </w:numPr>
        <w:snapToGrid w:val="0"/>
        <w:spacing w:line="360" w:lineRule="auto"/>
        <w:ind w:firstLine="600" w:firstLineChars="200"/>
        <w:rPr>
          <w:rFonts w:hint="eastAsia" w:ascii="黑体" w:hAnsi="黑体" w:eastAsia="黑体" w:cs="仿宋_GB2312"/>
          <w:color w:val="auto"/>
          <w:sz w:val="30"/>
          <w:szCs w:val="30"/>
        </w:rPr>
      </w:pPr>
      <w:r>
        <w:rPr>
          <w:rFonts w:hint="eastAsia" w:ascii="黑体" w:hAnsi="黑体" w:eastAsia="黑体" w:cs="仿宋_GB2312"/>
          <w:color w:val="auto"/>
          <w:sz w:val="30"/>
          <w:szCs w:val="30"/>
        </w:rPr>
        <w:t>其他需要安排的工作</w:t>
      </w:r>
    </w:p>
    <w:p w14:paraId="3E696C61">
      <w:pPr>
        <w:snapToGrid w:val="0"/>
        <w:spacing w:line="360" w:lineRule="auto"/>
        <w:rPr>
          <w:rFonts w:hint="eastAsia" w:ascii="黑体" w:hAnsi="黑体" w:eastAsia="黑体" w:cs="仿宋_GB2312"/>
          <w:color w:val="auto"/>
          <w:sz w:val="30"/>
          <w:szCs w:val="30"/>
        </w:rPr>
      </w:pPr>
      <w:r>
        <w:rPr>
          <w:rFonts w:hint="eastAsia" w:ascii="黑体" w:hAnsi="黑体" w:eastAsia="黑体" w:cs="仿宋_GB2312"/>
          <w:color w:val="auto"/>
          <w:sz w:val="30"/>
          <w:szCs w:val="30"/>
        </w:rPr>
        <w:t xml:space="preserve">  </w:t>
      </w:r>
      <w:r>
        <w:rPr>
          <w:rFonts w:hint="eastAsia" w:ascii="宋体" w:hAnsi="宋体" w:cs="宋体"/>
          <w:color w:val="auto"/>
          <w:sz w:val="32"/>
          <w:szCs w:val="32"/>
        </w:rPr>
        <w:t xml:space="preserve">  无。</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059C1">
    <w:pPr>
      <w:pStyle w:val="3"/>
      <w:tabs>
        <w:tab w:val="clear" w:pos="4153"/>
      </w:tabs>
      <w:jc w:val="left"/>
      <w:rPr>
        <w:rFonts w:hint="eastAsia"/>
      </w:rPr>
    </w:pPr>
    <w:r>
      <w:drawing>
        <wp:inline distT="0" distB="0" distL="0" distR="0">
          <wp:extent cx="654050" cy="6248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grayscl/>
                    <a:extLst>
                      <a:ext uri="{BEBA8EAE-BF5A-486C-A8C5-ECC9F3942E4B}">
                        <a14:imgProps xmlns:a14="http://schemas.microsoft.com/office/drawing/2010/main">
                          <a14:imgLayer r:embed="rId2">
                            <a14:imgEffect>
                              <a14:colorTemperature colorTemp="8665"/>
                            </a14:imgEffect>
                            <a14:imgEffect>
                              <a14:saturation sat="99000"/>
                            </a14:imgEffect>
                          </a14:imgLayer>
                        </a14:imgProps>
                      </a:ext>
                      <a:ext uri="{28A0092B-C50C-407E-A947-70E740481C1C}">
                        <a14:useLocalDpi xmlns:a14="http://schemas.microsoft.com/office/drawing/2010/main" val="0"/>
                      </a:ext>
                    </a:extLst>
                  </a:blip>
                  <a:srcRect/>
                  <a:stretch>
                    <a:fillRect/>
                  </a:stretch>
                </pic:blipFill>
                <pic:spPr>
                  <a:xfrm rot="10800000" flipH="1" flipV="1">
                    <a:off x="0" y="0"/>
                    <a:ext cx="744197" cy="7109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26A5E"/>
    <w:multiLevelType w:val="singleLevel"/>
    <w:tmpl w:val="9D126A5E"/>
    <w:lvl w:ilvl="0" w:tentative="0">
      <w:start w:val="2"/>
      <w:numFmt w:val="chineseCounting"/>
      <w:suff w:val="nothing"/>
      <w:lvlText w:val="%1、"/>
      <w:lvlJc w:val="left"/>
      <w:rPr>
        <w:rFonts w:hint="eastAsia"/>
      </w:rPr>
    </w:lvl>
  </w:abstractNum>
  <w:abstractNum w:abstractNumId="1">
    <w:nsid w:val="E0637F81"/>
    <w:multiLevelType w:val="singleLevel"/>
    <w:tmpl w:val="E0637F81"/>
    <w:lvl w:ilvl="0" w:tentative="0">
      <w:start w:val="5"/>
      <w:numFmt w:val="chineseCounting"/>
      <w:suff w:val="nothing"/>
      <w:lvlText w:val="%1、"/>
      <w:lvlJc w:val="left"/>
      <w:rPr>
        <w:rFonts w:hint="eastAsia"/>
      </w:rPr>
    </w:lvl>
  </w:abstractNum>
  <w:abstractNum w:abstractNumId="2">
    <w:nsid w:val="76367F1B"/>
    <w:multiLevelType w:val="singleLevel"/>
    <w:tmpl w:val="76367F1B"/>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23"/>
    <w:rsid w:val="00010E95"/>
    <w:rsid w:val="000237E5"/>
    <w:rsid w:val="00085B74"/>
    <w:rsid w:val="000B0736"/>
    <w:rsid w:val="000D5997"/>
    <w:rsid w:val="001536BA"/>
    <w:rsid w:val="001712F2"/>
    <w:rsid w:val="0018216A"/>
    <w:rsid w:val="00195D03"/>
    <w:rsid w:val="001F6356"/>
    <w:rsid w:val="00287A3B"/>
    <w:rsid w:val="002A1B99"/>
    <w:rsid w:val="002A609D"/>
    <w:rsid w:val="002A61F0"/>
    <w:rsid w:val="002E226F"/>
    <w:rsid w:val="00380003"/>
    <w:rsid w:val="00396523"/>
    <w:rsid w:val="003B65ED"/>
    <w:rsid w:val="003C4F74"/>
    <w:rsid w:val="00401FB2"/>
    <w:rsid w:val="00474D5D"/>
    <w:rsid w:val="00476464"/>
    <w:rsid w:val="00492EF9"/>
    <w:rsid w:val="00493A43"/>
    <w:rsid w:val="005D3685"/>
    <w:rsid w:val="006779E3"/>
    <w:rsid w:val="00683B0A"/>
    <w:rsid w:val="006A3CBC"/>
    <w:rsid w:val="006C249B"/>
    <w:rsid w:val="0072096E"/>
    <w:rsid w:val="00721AB1"/>
    <w:rsid w:val="00857AD6"/>
    <w:rsid w:val="00882E02"/>
    <w:rsid w:val="00A606B1"/>
    <w:rsid w:val="00AB10CD"/>
    <w:rsid w:val="00AC292C"/>
    <w:rsid w:val="00B3408D"/>
    <w:rsid w:val="00B53A02"/>
    <w:rsid w:val="00B86453"/>
    <w:rsid w:val="00BB3023"/>
    <w:rsid w:val="00BD42B8"/>
    <w:rsid w:val="00BF72C1"/>
    <w:rsid w:val="00C11466"/>
    <w:rsid w:val="00C24BA9"/>
    <w:rsid w:val="00C52A80"/>
    <w:rsid w:val="00C66C22"/>
    <w:rsid w:val="00CD755C"/>
    <w:rsid w:val="00CE6F02"/>
    <w:rsid w:val="00D1385B"/>
    <w:rsid w:val="00D16D3C"/>
    <w:rsid w:val="00D26B50"/>
    <w:rsid w:val="00D57587"/>
    <w:rsid w:val="00D86636"/>
    <w:rsid w:val="00E2534E"/>
    <w:rsid w:val="00E7320D"/>
    <w:rsid w:val="00F02DEC"/>
    <w:rsid w:val="00F56831"/>
    <w:rsid w:val="00F86547"/>
    <w:rsid w:val="00F90F13"/>
    <w:rsid w:val="00FA4DFE"/>
    <w:rsid w:val="00FD74B5"/>
    <w:rsid w:val="00FF73C5"/>
    <w:rsid w:val="012515C4"/>
    <w:rsid w:val="049D5915"/>
    <w:rsid w:val="090E2945"/>
    <w:rsid w:val="0D562B05"/>
    <w:rsid w:val="0D7116ED"/>
    <w:rsid w:val="0DF36AFF"/>
    <w:rsid w:val="0F097DBF"/>
    <w:rsid w:val="10596B94"/>
    <w:rsid w:val="10B71B0D"/>
    <w:rsid w:val="11C10E95"/>
    <w:rsid w:val="12B1751D"/>
    <w:rsid w:val="16AD2BAC"/>
    <w:rsid w:val="19476118"/>
    <w:rsid w:val="1D113134"/>
    <w:rsid w:val="1D6865EC"/>
    <w:rsid w:val="1DD91315"/>
    <w:rsid w:val="206A6B9C"/>
    <w:rsid w:val="21184259"/>
    <w:rsid w:val="218477E9"/>
    <w:rsid w:val="24286B52"/>
    <w:rsid w:val="242F51F8"/>
    <w:rsid w:val="29B36EBE"/>
    <w:rsid w:val="2AF30CAB"/>
    <w:rsid w:val="2CAC2575"/>
    <w:rsid w:val="2D572256"/>
    <w:rsid w:val="2E251050"/>
    <w:rsid w:val="31A67308"/>
    <w:rsid w:val="32990513"/>
    <w:rsid w:val="37E003BA"/>
    <w:rsid w:val="3D3D6D72"/>
    <w:rsid w:val="3DB03A9D"/>
    <w:rsid w:val="41377F7D"/>
    <w:rsid w:val="438576C5"/>
    <w:rsid w:val="43CD6976"/>
    <w:rsid w:val="49C83E68"/>
    <w:rsid w:val="4AAF6DD6"/>
    <w:rsid w:val="4DCF7EBB"/>
    <w:rsid w:val="52C32DF2"/>
    <w:rsid w:val="590F4BD9"/>
    <w:rsid w:val="5B7C2D04"/>
    <w:rsid w:val="5D577585"/>
    <w:rsid w:val="5DF03535"/>
    <w:rsid w:val="634E1914"/>
    <w:rsid w:val="6703424A"/>
    <w:rsid w:val="692E7D33"/>
    <w:rsid w:val="715E0A8A"/>
    <w:rsid w:val="71CA4EB4"/>
    <w:rsid w:val="756D5C62"/>
    <w:rsid w:val="77617526"/>
    <w:rsid w:val="788F1E71"/>
    <w:rsid w:val="78C338C8"/>
    <w:rsid w:val="7929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FF"/>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color w:val="auto"/>
      <w:kern w:val="2"/>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3361</Words>
  <Characters>3445</Characters>
  <Lines>25</Lines>
  <Paragraphs>7</Paragraphs>
  <TotalTime>8</TotalTime>
  <ScaleCrop>false</ScaleCrop>
  <LinksUpToDate>false</LinksUpToDate>
  <CharactersWithSpaces>3496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2019-11-19T01:49:00Z</dcterms:created>
  <dc:creator>lenovo lenovo</dc:creator>
  <cp:lastModifiedBy>王晓敏</cp:lastModifiedBy>
  <dcterms:modified xsi:type="dcterms:W3CDTF">2026-04-21T01:49:30Z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eyJoZGlkIjoiMzllYzZhYzgwZGQyMTEzNTJjMzExMTY0YzVlYjFkOWQiLCJ1c2VySWQiOiIzMTk2MTQ2NzUifQ==</vt:lpwstr>
  </property>
  <property fmtid="{D5CDD505-2E9C-101B-9397-08002B2CF9AE}" pid="4" name="ICV">
    <vt:lpwstr>65BC32E4432B4BAE9DE337EC04C481E2_13</vt:lpwstr>
  </property>
</Properties>
</file>